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0A2F5C"/>
          <w:sz w:val="40"/>
          <w:szCs w:val="40"/>
        </w:rPr>
        <w:t xml:space="preserve">Aamir Capital</w:t>
      </w:r>
    </w:p>
    <w:p>
      <w:pPr>
        <w:spacing w:after="400"/>
      </w:pPr>
      <w:r>
        <w:rPr>
          <w:b/>
          <w:bCs/>
          <w:color w:val="1857A4"/>
          <w:sz w:val="18"/>
          <w:szCs w:val="18"/>
        </w:rPr>
        <w:t xml:space="preserve">INVESTMENT &amp; ADVISORY</w:t>
      </w:r>
    </w:p>
    <w:p>
      <w:pPr>
        <w:pStyle w:val="Title"/>
        <w:spacing w:after="80"/>
      </w:pPr>
      <w:r>
        <w:rPr>
          <w:b/>
          <w:bCs/>
          <w:color w:val="0A2F5C"/>
        </w:rPr>
        <w:t xml:space="preserve">Investment Committee Memo</w:t>
      </w:r>
    </w:p>
    <w:p>
      <w:pPr>
        <w:spacing w:after="160"/>
      </w:pPr>
      <w:r>
        <w:rPr>
          <w:i/>
          <w:iCs/>
          <w:color w:val="5B6570"/>
        </w:rPr>
        <w:t xml:space="preserve">A free template provided by Aamir Capital. Replace every bracketed placeholder with your own content, then delete this line.</w:t>
      </w:r>
    </w:p>
    <w:tbl>
      <w:tblPr>
        <w:tblW w:type="dxa" w:w="9300"/>
        <w:tblBorders>
          <w:top w:val="single" w:color="D9D9D9" w:sz="4"/>
          <w:left w:val="single" w:color="D9D9D9" w:sz="4"/>
          <w:bottom w:val="single" w:color="D9D9D9" w:sz="4"/>
          <w:right w:val="single" w:color="D9D9D9" w:sz="4"/>
          <w:insideH w:val="single" w:color="D9D9D9" w:sz="4"/>
          <w:insideV w:val="single" w:color="D9D9D9" w:sz="4"/>
        </w:tblBorders>
      </w:tblPr>
      <w:tblGrid>
        <w:gridCol w:w="3200"/>
        <w:gridCol w:w="6100"/>
      </w:tblGrid>
      <w:tr>
        <w:tc>
          <w:tcPr>
            <w:tcW w:type="dxa" w:w="3200"/>
            <w:shd w:fill="F2F6FB" w:val="clear"/>
            <w:tcMar>
              <w:top w:type="dxa" w:w="100"/>
              <w:left w:type="dxa" w:w="120"/>
              <w:bottom w:type="dxa" w:w="100"/>
              <w:right w:type="dxa" w:w="120"/>
            </w:tcMar>
          </w:tcPr>
          <w:p>
            <w:r>
              <w:rPr>
                <w:b/>
                <w:bCs/>
                <w:color w:val="000000"/>
                <w:sz w:val="20"/>
                <w:szCs w:val="20"/>
              </w:rPr>
              <w:t xml:space="preserve">Transaction / Opportunity</w:t>
            </w:r>
          </w:p>
        </w:tc>
        <w:tc>
          <w:tcPr>
            <w:tcW w:type="dxa" w:w="6100"/>
            <w:tcMar>
              <w:top w:type="dxa" w:w="100"/>
              <w:left w:type="dxa" w:w="120"/>
              <w:bottom w:type="dxa" w:w="100"/>
              <w:right w:type="dxa" w:w="120"/>
            </w:tcMar>
          </w:tcPr>
          <w:p>
            <w:r>
              <w:rPr>
                <w:b w:val="false"/>
                <w:bCs w:val="false"/>
                <w:color w:val="000000"/>
                <w:sz w:val="20"/>
                <w:szCs w:val="20"/>
              </w:rPr>
              <w:t xml:space="preserve">[Name of target / project]</w:t>
            </w:r>
          </w:p>
        </w:tc>
      </w:tr>
      <w:tr>
        <w:tc>
          <w:tcPr>
            <w:tcW w:type="dxa" w:w="3200"/>
            <w:shd w:fill="F2F6FB" w:val="clear"/>
            <w:tcMar>
              <w:top w:type="dxa" w:w="100"/>
              <w:left w:type="dxa" w:w="120"/>
              <w:bottom w:type="dxa" w:w="100"/>
              <w:right w:type="dxa" w:w="120"/>
            </w:tcMar>
          </w:tcPr>
          <w:p>
            <w:r>
              <w:rPr>
                <w:b/>
                <w:bCs/>
                <w:color w:val="000000"/>
                <w:sz w:val="20"/>
                <w:szCs w:val="20"/>
              </w:rPr>
              <w:t xml:space="preserve">Prepared by</w:t>
            </w:r>
          </w:p>
        </w:tc>
        <w:tc>
          <w:tcPr>
            <w:tcW w:type="dxa" w:w="6100"/>
            <w:tcMar>
              <w:top w:type="dxa" w:w="100"/>
              <w:left w:type="dxa" w:w="120"/>
              <w:bottom w:type="dxa" w:w="100"/>
              <w:right w:type="dxa" w:w="120"/>
            </w:tcMar>
          </w:tcPr>
          <w:p>
            <w:r>
              <w:rPr>
                <w:b w:val="false"/>
                <w:bCs w:val="false"/>
                <w:color w:val="000000"/>
                <w:sz w:val="20"/>
                <w:szCs w:val="20"/>
              </w:rPr>
              <w:t xml:space="preserve">[Name, title]</w:t>
            </w:r>
          </w:p>
        </w:tc>
      </w:tr>
      <w:tr>
        <w:tc>
          <w:tcPr>
            <w:tcW w:type="dxa" w:w="3200"/>
            <w:shd w:fill="F2F6FB" w:val="clear"/>
            <w:tcMar>
              <w:top w:type="dxa" w:w="100"/>
              <w:left w:type="dxa" w:w="120"/>
              <w:bottom w:type="dxa" w:w="100"/>
              <w:right w:type="dxa" w:w="120"/>
            </w:tcMar>
          </w:tcPr>
          <w:p>
            <w:r>
              <w:rPr>
                <w:b/>
                <w:bCs/>
                <w:color w:val="000000"/>
                <w:sz w:val="20"/>
                <w:szCs w:val="20"/>
              </w:rPr>
              <w:t xml:space="preserve">Date</w:t>
            </w:r>
          </w:p>
        </w:tc>
        <w:tc>
          <w:tcPr>
            <w:tcW w:type="dxa" w:w="6100"/>
            <w:tcMar>
              <w:top w:type="dxa" w:w="100"/>
              <w:left w:type="dxa" w:w="120"/>
              <w:bottom w:type="dxa" w:w="100"/>
              <w:right w:type="dxa" w:w="120"/>
            </w:tcMar>
          </w:tcPr>
          <w:p>
            <w:r>
              <w:rPr>
                <w:b w:val="false"/>
                <w:bCs w:val="false"/>
                <w:color w:val="000000"/>
                <w:sz w:val="20"/>
                <w:szCs w:val="20"/>
              </w:rPr>
              <w:t xml:space="preserve">[Date]</w:t>
            </w:r>
          </w:p>
        </w:tc>
      </w:tr>
      <w:tr>
        <w:tc>
          <w:tcPr>
            <w:tcW w:type="dxa" w:w="3200"/>
            <w:shd w:fill="F2F6FB" w:val="clear"/>
            <w:tcMar>
              <w:top w:type="dxa" w:w="100"/>
              <w:left w:type="dxa" w:w="120"/>
              <w:bottom w:type="dxa" w:w="100"/>
              <w:right w:type="dxa" w:w="120"/>
            </w:tcMar>
          </w:tcPr>
          <w:p>
            <w:r>
              <w:rPr>
                <w:b/>
                <w:bCs/>
                <w:color w:val="000000"/>
                <w:sz w:val="20"/>
                <w:szCs w:val="20"/>
              </w:rPr>
              <w:t xml:space="preserve">Recommendation</w:t>
            </w:r>
          </w:p>
        </w:tc>
        <w:tc>
          <w:tcPr>
            <w:tcW w:type="dxa" w:w="6100"/>
            <w:tcMar>
              <w:top w:type="dxa" w:w="100"/>
              <w:left w:type="dxa" w:w="120"/>
              <w:bottom w:type="dxa" w:w="100"/>
              <w:right w:type="dxa" w:w="120"/>
            </w:tcMar>
          </w:tcPr>
          <w:p>
            <w:r>
              <w:rPr>
                <w:b w:val="false"/>
                <w:bCs w:val="false"/>
                <w:color w:val="000000"/>
                <w:sz w:val="20"/>
                <w:szCs w:val="20"/>
              </w:rPr>
              <w:t xml:space="preserve">[Approve / Approve with conditions / Decline]</w:t>
            </w:r>
          </w:p>
        </w:tc>
      </w:tr>
      <w:tr>
        <w:tc>
          <w:tcPr>
            <w:tcW w:type="dxa" w:w="3200"/>
            <w:shd w:fill="F2F6FB" w:val="clear"/>
            <w:tcMar>
              <w:top w:type="dxa" w:w="100"/>
              <w:left w:type="dxa" w:w="120"/>
              <w:bottom w:type="dxa" w:w="100"/>
              <w:right w:type="dxa" w:w="120"/>
            </w:tcMar>
          </w:tcPr>
          <w:p>
            <w:r>
              <w:rPr>
                <w:b/>
                <w:bCs/>
                <w:color w:val="000000"/>
                <w:sz w:val="20"/>
                <w:szCs w:val="20"/>
              </w:rPr>
              <w:t xml:space="preserve">Requested amount / size</w:t>
            </w:r>
          </w:p>
        </w:tc>
        <w:tc>
          <w:tcPr>
            <w:tcW w:type="dxa" w:w="6100"/>
            <w:tcMar>
              <w:top w:type="dxa" w:w="100"/>
              <w:left w:type="dxa" w:w="120"/>
              <w:bottom w:type="dxa" w:w="100"/>
              <w:right w:type="dxa" w:w="120"/>
            </w:tcMar>
          </w:tcPr>
          <w:p>
            <w:r>
              <w:rPr>
                <w:b w:val="false"/>
                <w:bCs w:val="false"/>
                <w:color w:val="000000"/>
                <w:sz w:val="20"/>
                <w:szCs w:val="20"/>
              </w:rPr>
              <w:t xml:space="preserve">[SAR amount]</w:t>
            </w:r>
          </w:p>
        </w:tc>
      </w:tr>
    </w:tbl>
    <w:p>
      <w:pPr>
        <w:pStyle w:val="Heading1"/>
        <w:spacing w:after="120" w:before="320"/>
      </w:pPr>
      <w:r>
        <w:rPr>
          <w:b/>
          <w:bCs/>
          <w:color w:val="0A2F5C"/>
        </w:rPr>
        <w:t xml:space="preserve">1. Executive Summary</w:t>
      </w:r>
    </w:p>
    <w:p>
      <w:pPr>
        <w:spacing w:after="160"/>
      </w:pPr>
      <w:r>
        <w:rPr>
          <w:i w:val="false"/>
          <w:iCs w:val="false"/>
          <w:color w:val="000000"/>
        </w:rPr>
        <w:t xml:space="preserve">A tight, 3–5 sentence summary an Investment Committee member could read in isolation and understand: what is being proposed, why, how much, and your recommendation.</w:t>
      </w:r>
    </w:p>
    <w:p>
      <w:pPr>
        <w:spacing w:after="160"/>
      </w:pPr>
      <w:r>
        <w:rPr>
          <w:i/>
          <w:iCs/>
          <w:color w:val="8A8A8A"/>
        </w:rPr>
        <w:t xml:space="preserve">[Executive summary text]</w:t>
      </w:r>
    </w:p>
    <w:p>
      <w:pPr>
        <w:pStyle w:val="Heading1"/>
        <w:spacing w:after="120" w:before="320"/>
      </w:pPr>
      <w:r>
        <w:rPr>
          <w:b/>
          <w:bCs/>
          <w:color w:val="0A2F5C"/>
        </w:rPr>
        <w:t xml:space="preserve">2. Transaction / Opportunity Overview</w:t>
      </w:r>
    </w:p>
    <w:p>
      <w:pPr>
        <w:spacing w:after="160"/>
      </w:pPr>
      <w:r>
        <w:rPr>
          <w:i w:val="false"/>
          <w:iCs w:val="false"/>
          <w:color w:val="000000"/>
        </w:rPr>
        <w:t xml:space="preserve">Describe the opportunity in plain terms: what it is, the counterparty, the structure, and how it was sourced.</w:t>
      </w:r>
    </w:p>
    <w:p>
      <w:pPr>
        <w:spacing w:after="160"/>
      </w:pPr>
      <w:r>
        <w:rPr>
          <w:i/>
          <w:iCs/>
          <w:color w:val="8A8A8A"/>
        </w:rPr>
        <w:t xml:space="preserve">[Overview text]</w:t>
      </w:r>
    </w:p>
    <w:p>
      <w:pPr>
        <w:pStyle w:val="Heading1"/>
        <w:spacing w:after="120" w:before="320"/>
      </w:pPr>
      <w:r>
        <w:rPr>
          <w:b/>
          <w:bCs/>
          <w:color w:val="0A2F5C"/>
        </w:rPr>
        <w:t xml:space="preserve">3. Investment Thesis</w:t>
      </w:r>
    </w:p>
    <w:p>
      <w:pPr>
        <w:spacing w:after="160"/>
      </w:pPr>
      <w:r>
        <w:rPr>
          <w:i w:val="false"/>
          <w:iCs w:val="false"/>
          <w:color w:val="000000"/>
        </w:rPr>
        <w:t xml:space="preserve">Why does this opportunity make sense? What is the core value-creation logic?</w:t>
      </w:r>
    </w:p>
    <w:p>
      <w:pPr>
        <w:pStyle w:val="ListParagraph"/>
        <w:numPr>
          <w:ilvl w:val="0"/>
          <w:numId w:val="1"/>
        </w:numPr>
        <w:spacing w:after="80"/>
      </w:pPr>
      <w:r>
        <w:t xml:space="preserve">[Thesis point 1]</w:t>
      </w:r>
    </w:p>
    <w:p>
      <w:pPr>
        <w:pStyle w:val="ListParagraph"/>
        <w:numPr>
          <w:ilvl w:val="0"/>
          <w:numId w:val="1"/>
        </w:numPr>
        <w:spacing w:after="80"/>
      </w:pPr>
      <w:r>
        <w:t xml:space="preserve">[Thesis point 2]</w:t>
      </w:r>
    </w:p>
    <w:p>
      <w:pPr>
        <w:pStyle w:val="ListParagraph"/>
        <w:numPr>
          <w:ilvl w:val="0"/>
          <w:numId w:val="1"/>
        </w:numPr>
        <w:spacing w:after="80"/>
      </w:pPr>
      <w:r>
        <w:t xml:space="preserve">[Thesis point 3]</w:t>
      </w:r>
    </w:p>
    <w:p>
      <w:pPr>
        <w:pStyle w:val="Heading1"/>
        <w:spacing w:after="120" w:before="320"/>
      </w:pPr>
      <w:r>
        <w:rPr>
          <w:b/>
          <w:bCs/>
          <w:color w:val="0A2F5C"/>
        </w:rPr>
        <w:t xml:space="preserve">4. Key Financials</w:t>
      </w:r>
    </w:p>
    <w:p>
      <w:pPr>
        <w:spacing w:after="160"/>
      </w:pPr>
      <w:r>
        <w:rPr>
          <w:i w:val="false"/>
          <w:iCs w:val="false"/>
          <w:color w:val="000000"/>
        </w:rPr>
        <w:t xml:space="preserve">Summarise the headline numbers. Attach the full model separately. This section is a snapshot, not the analysis itself.</w:t>
      </w:r>
    </w:p>
    <w:tbl>
      <w:tblPr>
        <w:tblW w:type="dxa" w:w="9300"/>
        <w:tblBorders>
          <w:top w:val="single" w:color="D9D9D9" w:sz="4"/>
          <w:left w:val="single" w:color="D9D9D9" w:sz="4"/>
          <w:bottom w:val="single" w:color="D9D9D9" w:sz="4"/>
          <w:right w:val="single" w:color="D9D9D9" w:sz="4"/>
          <w:insideH w:val="single" w:color="D9D9D9" w:sz="4"/>
          <w:insideV w:val="single" w:color="D9D9D9" w:sz="4"/>
        </w:tblBorders>
      </w:tblPr>
      <w:tblGrid>
        <w:gridCol w:w="3100"/>
        <w:gridCol w:w="3100"/>
        <w:gridCol w:w="3100"/>
      </w:tblGrid>
      <w:tr>
        <w:tc>
          <w:tcPr>
            <w:tcW w:type="dxa" w:w="3100"/>
            <w:shd w:fill="0A2F5C" w:val="clear"/>
            <w:tcMar>
              <w:top w:type="dxa" w:w="100"/>
              <w:left w:type="dxa" w:w="120"/>
              <w:bottom w:type="dxa" w:w="100"/>
              <w:right w:type="dxa" w:w="120"/>
            </w:tcMar>
          </w:tcPr>
          <w:p>
            <w:r>
              <w:rPr>
                <w:b/>
                <w:bCs/>
                <w:color w:val="FFFFFF"/>
                <w:sz w:val="20"/>
                <w:szCs w:val="20"/>
              </w:rPr>
              <w:t xml:space="preserve">Metric</w:t>
            </w:r>
          </w:p>
        </w:tc>
        <w:tc>
          <w:tcPr>
            <w:tcW w:type="dxa" w:w="3100"/>
            <w:shd w:fill="0A2F5C" w:val="clear"/>
            <w:tcMar>
              <w:top w:type="dxa" w:w="100"/>
              <w:left w:type="dxa" w:w="120"/>
              <w:bottom w:type="dxa" w:w="100"/>
              <w:right w:type="dxa" w:w="120"/>
            </w:tcMar>
          </w:tcPr>
          <w:p>
            <w:r>
              <w:rPr>
                <w:b/>
                <w:bCs/>
                <w:color w:val="FFFFFF"/>
                <w:sz w:val="20"/>
                <w:szCs w:val="20"/>
              </w:rPr>
              <w:t xml:space="preserve">Current / Base Case</w:t>
            </w:r>
          </w:p>
        </w:tc>
        <w:tc>
          <w:tcPr>
            <w:tcW w:type="dxa" w:w="3100"/>
            <w:shd w:fill="0A2F5C" w:val="clear"/>
            <w:tcMar>
              <w:top w:type="dxa" w:w="100"/>
              <w:left w:type="dxa" w:w="120"/>
              <w:bottom w:type="dxa" w:w="100"/>
              <w:right w:type="dxa" w:w="120"/>
            </w:tcMar>
          </w:tcPr>
          <w:p>
            <w:r>
              <w:rPr>
                <w:b/>
                <w:bCs/>
                <w:color w:val="FFFFFF"/>
                <w:sz w:val="20"/>
                <w:szCs w:val="20"/>
              </w:rPr>
              <w:t xml:space="preserve">Notes</w:t>
            </w:r>
          </w:p>
        </w:tc>
      </w:tr>
      <w:tr>
        <w:tc>
          <w:tcPr>
            <w:tcW w:type="dxa" w:w="3100"/>
            <w:tcMar>
              <w:top w:type="dxa" w:w="100"/>
              <w:left w:type="dxa" w:w="120"/>
              <w:bottom w:type="dxa" w:w="100"/>
              <w:right w:type="dxa" w:w="120"/>
            </w:tcMar>
          </w:tcPr>
          <w:p>
            <w:r>
              <w:rPr>
                <w:b w:val="false"/>
                <w:bCs w:val="false"/>
                <w:color w:val="000000"/>
                <w:sz w:val="20"/>
                <w:szCs w:val="20"/>
              </w:rPr>
              <w:t xml:space="preserve">Revenue</w:t>
            </w:r>
          </w:p>
        </w:tc>
        <w:tc>
          <w:tcPr>
            <w:tcW w:type="dxa" w:w="3100"/>
            <w:tcMar>
              <w:top w:type="dxa" w:w="100"/>
              <w:left w:type="dxa" w:w="120"/>
              <w:bottom w:type="dxa" w:w="100"/>
              <w:right w:type="dxa" w:w="120"/>
            </w:tcMar>
          </w:tcPr>
          <w:p>
            <w:r>
              <w:rPr>
                <w:b w:val="false"/>
                <w:bCs w:val="false"/>
                <w:color w:val="000000"/>
                <w:sz w:val="20"/>
                <w:szCs w:val="20"/>
              </w:rPr>
              <w:t xml:space="preserve">[SAR]</w:t>
            </w:r>
          </w:p>
        </w:tc>
        <w:tc>
          <w:tcPr>
            <w:tcW w:type="dxa" w:w="3100"/>
            <w:tcMar>
              <w:top w:type="dxa" w:w="100"/>
              <w:left w:type="dxa" w:w="120"/>
              <w:bottom w:type="dxa" w:w="100"/>
              <w:right w:type="dxa" w:w="120"/>
            </w:tcMar>
          </w:tcPr>
          <w:p>
            <w:r>
              <w:rPr>
                <w:b w:val="false"/>
                <w:bCs w:val="false"/>
                <w:color w:val="000000"/>
                <w:sz w:val="20"/>
                <w:szCs w:val="20"/>
              </w:rPr>
              <w:t xml:space="preserve">[Note]</w:t>
            </w:r>
          </w:p>
        </w:tc>
      </w:tr>
      <w:tr>
        <w:tc>
          <w:tcPr>
            <w:tcW w:type="dxa" w:w="3100"/>
            <w:tcMar>
              <w:top w:type="dxa" w:w="100"/>
              <w:left w:type="dxa" w:w="120"/>
              <w:bottom w:type="dxa" w:w="100"/>
              <w:right w:type="dxa" w:w="120"/>
            </w:tcMar>
          </w:tcPr>
          <w:p>
            <w:r>
              <w:rPr>
                <w:b w:val="false"/>
                <w:bCs w:val="false"/>
                <w:color w:val="000000"/>
                <w:sz w:val="20"/>
                <w:szCs w:val="20"/>
              </w:rPr>
              <w:t xml:space="preserve">EBITDA</w:t>
            </w:r>
          </w:p>
        </w:tc>
        <w:tc>
          <w:tcPr>
            <w:tcW w:type="dxa" w:w="3100"/>
            <w:tcMar>
              <w:top w:type="dxa" w:w="100"/>
              <w:left w:type="dxa" w:w="120"/>
              <w:bottom w:type="dxa" w:w="100"/>
              <w:right w:type="dxa" w:w="120"/>
            </w:tcMar>
          </w:tcPr>
          <w:p>
            <w:r>
              <w:rPr>
                <w:b w:val="false"/>
                <w:bCs w:val="false"/>
                <w:color w:val="000000"/>
                <w:sz w:val="20"/>
                <w:szCs w:val="20"/>
              </w:rPr>
              <w:t xml:space="preserve">[SAR]</w:t>
            </w:r>
          </w:p>
        </w:tc>
        <w:tc>
          <w:tcPr>
            <w:tcW w:type="dxa" w:w="3100"/>
            <w:tcMar>
              <w:top w:type="dxa" w:w="100"/>
              <w:left w:type="dxa" w:w="120"/>
              <w:bottom w:type="dxa" w:w="100"/>
              <w:right w:type="dxa" w:w="120"/>
            </w:tcMar>
          </w:tcPr>
          <w:p>
            <w:r>
              <w:rPr>
                <w:b w:val="false"/>
                <w:bCs w:val="false"/>
                <w:color w:val="000000"/>
                <w:sz w:val="20"/>
                <w:szCs w:val="20"/>
              </w:rPr>
              <w:t xml:space="preserve">[Note]</w:t>
            </w:r>
          </w:p>
        </w:tc>
      </w:tr>
      <w:tr>
        <w:tc>
          <w:tcPr>
            <w:tcW w:type="dxa" w:w="3100"/>
            <w:tcMar>
              <w:top w:type="dxa" w:w="100"/>
              <w:left w:type="dxa" w:w="120"/>
              <w:bottom w:type="dxa" w:w="100"/>
              <w:right w:type="dxa" w:w="120"/>
            </w:tcMar>
          </w:tcPr>
          <w:p>
            <w:r>
              <w:rPr>
                <w:b w:val="false"/>
                <w:bCs w:val="false"/>
                <w:color w:val="000000"/>
                <w:sz w:val="20"/>
                <w:szCs w:val="20"/>
              </w:rPr>
              <w:t xml:space="preserve">Valuation / Price</w:t>
            </w:r>
          </w:p>
        </w:tc>
        <w:tc>
          <w:tcPr>
            <w:tcW w:type="dxa" w:w="3100"/>
            <w:tcMar>
              <w:top w:type="dxa" w:w="100"/>
              <w:left w:type="dxa" w:w="120"/>
              <w:bottom w:type="dxa" w:w="100"/>
              <w:right w:type="dxa" w:w="120"/>
            </w:tcMar>
          </w:tcPr>
          <w:p>
            <w:r>
              <w:rPr>
                <w:b w:val="false"/>
                <w:bCs w:val="false"/>
                <w:color w:val="000000"/>
                <w:sz w:val="20"/>
                <w:szCs w:val="20"/>
              </w:rPr>
              <w:t xml:space="preserve">[SAR]</w:t>
            </w:r>
          </w:p>
        </w:tc>
        <w:tc>
          <w:tcPr>
            <w:tcW w:type="dxa" w:w="3100"/>
            <w:tcMar>
              <w:top w:type="dxa" w:w="100"/>
              <w:left w:type="dxa" w:w="120"/>
              <w:bottom w:type="dxa" w:w="100"/>
              <w:right w:type="dxa" w:w="120"/>
            </w:tcMar>
          </w:tcPr>
          <w:p>
            <w:r>
              <w:rPr>
                <w:b w:val="false"/>
                <w:bCs w:val="false"/>
                <w:color w:val="000000"/>
                <w:sz w:val="20"/>
                <w:szCs w:val="20"/>
              </w:rPr>
              <w:t xml:space="preserve">[Note]</w:t>
            </w:r>
          </w:p>
        </w:tc>
      </w:tr>
      <w:tr>
        <w:tc>
          <w:tcPr>
            <w:tcW w:type="dxa" w:w="3100"/>
            <w:tcMar>
              <w:top w:type="dxa" w:w="100"/>
              <w:left w:type="dxa" w:w="120"/>
              <w:bottom w:type="dxa" w:w="100"/>
              <w:right w:type="dxa" w:w="120"/>
            </w:tcMar>
          </w:tcPr>
          <w:p>
            <w:r>
              <w:rPr>
                <w:b w:val="false"/>
                <w:bCs w:val="false"/>
                <w:color w:val="000000"/>
                <w:sz w:val="20"/>
                <w:szCs w:val="20"/>
              </w:rPr>
              <w:t xml:space="preserve">Expected Return (IRR / MOIC)</w:t>
            </w:r>
          </w:p>
        </w:tc>
        <w:tc>
          <w:tcPr>
            <w:tcW w:type="dxa" w:w="3100"/>
            <w:tcMar>
              <w:top w:type="dxa" w:w="100"/>
              <w:left w:type="dxa" w:w="120"/>
              <w:bottom w:type="dxa" w:w="100"/>
              <w:right w:type="dxa" w:w="120"/>
            </w:tcMar>
          </w:tcPr>
          <w:p>
            <w:r>
              <w:rPr>
                <w:b w:val="false"/>
                <w:bCs w:val="false"/>
                <w:color w:val="000000"/>
                <w:sz w:val="20"/>
                <w:szCs w:val="20"/>
              </w:rPr>
              <w:t xml:space="preserve">[%]</w:t>
            </w:r>
          </w:p>
        </w:tc>
        <w:tc>
          <w:tcPr>
            <w:tcW w:type="dxa" w:w="3100"/>
            <w:tcMar>
              <w:top w:type="dxa" w:w="100"/>
              <w:left w:type="dxa" w:w="120"/>
              <w:bottom w:type="dxa" w:w="100"/>
              <w:right w:type="dxa" w:w="120"/>
            </w:tcMar>
          </w:tcPr>
          <w:p>
            <w:r>
              <w:rPr>
                <w:b w:val="false"/>
                <w:bCs w:val="false"/>
                <w:color w:val="000000"/>
                <w:sz w:val="20"/>
                <w:szCs w:val="20"/>
              </w:rPr>
              <w:t xml:space="preserve">[Note]</w:t>
            </w:r>
          </w:p>
        </w:tc>
      </w:tr>
    </w:tbl>
    <w:p>
      <w:pPr>
        <w:pStyle w:val="Heading1"/>
        <w:spacing w:after="120" w:before="320"/>
      </w:pPr>
      <w:r>
        <w:rPr>
          <w:b/>
          <w:bCs/>
          <w:color w:val="0A2F5C"/>
        </w:rPr>
        <w:t xml:space="preserve">5. Key Risks and Mitigants</w:t>
      </w:r>
    </w:p>
    <w:tbl>
      <w:tblPr>
        <w:tblW w:type="dxa" w:w="9300"/>
        <w:tblBorders>
          <w:top w:val="single" w:color="D9D9D9" w:sz="4"/>
          <w:left w:val="single" w:color="D9D9D9" w:sz="4"/>
          <w:bottom w:val="single" w:color="D9D9D9" w:sz="4"/>
          <w:right w:val="single" w:color="D9D9D9" w:sz="4"/>
          <w:insideH w:val="single" w:color="D9D9D9" w:sz="4"/>
          <w:insideV w:val="single" w:color="D9D9D9" w:sz="4"/>
        </w:tblBorders>
      </w:tblPr>
      <w:tblGrid>
        <w:gridCol w:w="4650"/>
        <w:gridCol w:w="4650"/>
      </w:tblGrid>
      <w:tr>
        <w:tc>
          <w:tcPr>
            <w:tcW w:type="dxa" w:w="4650"/>
            <w:shd w:fill="F2F6FB" w:val="clear"/>
            <w:tcMar>
              <w:top w:type="dxa" w:w="100"/>
              <w:left w:type="dxa" w:w="120"/>
              <w:bottom w:type="dxa" w:w="100"/>
              <w:right w:type="dxa" w:w="120"/>
            </w:tcMar>
          </w:tcPr>
          <w:p>
            <w:r>
              <w:rPr>
                <w:b/>
                <w:bCs/>
                <w:color w:val="000000"/>
                <w:sz w:val="20"/>
                <w:szCs w:val="20"/>
              </w:rPr>
              <w:t xml:space="preserve">Risk</w:t>
            </w:r>
          </w:p>
        </w:tc>
        <w:tc>
          <w:tcPr>
            <w:tcW w:type="dxa" w:w="4650"/>
            <w:shd w:fill="F2F6FB" w:val="clear"/>
            <w:tcMar>
              <w:top w:type="dxa" w:w="100"/>
              <w:left w:type="dxa" w:w="120"/>
              <w:bottom w:type="dxa" w:w="100"/>
              <w:right w:type="dxa" w:w="120"/>
            </w:tcMar>
          </w:tcPr>
          <w:p>
            <w:r>
              <w:rPr>
                <w:b/>
                <w:bCs/>
                <w:color w:val="000000"/>
                <w:sz w:val="20"/>
                <w:szCs w:val="20"/>
              </w:rPr>
              <w:t xml:space="preserve">Mitigant</w:t>
            </w:r>
          </w:p>
        </w:tc>
      </w:tr>
      <w:tr>
        <w:tc>
          <w:tcPr>
            <w:tcW w:type="dxa" w:w="4650"/>
            <w:tcMar>
              <w:top w:type="dxa" w:w="100"/>
              <w:left w:type="dxa" w:w="120"/>
              <w:bottom w:type="dxa" w:w="100"/>
              <w:right w:type="dxa" w:w="120"/>
            </w:tcMar>
          </w:tcPr>
          <w:p>
            <w:r>
              <w:rPr>
                <w:b w:val="false"/>
                <w:bCs w:val="false"/>
                <w:color w:val="000000"/>
                <w:sz w:val="20"/>
                <w:szCs w:val="20"/>
              </w:rPr>
              <w:t xml:space="preserve">[Risk 1]</w:t>
            </w:r>
          </w:p>
        </w:tc>
        <w:tc>
          <w:tcPr>
            <w:tcW w:type="dxa" w:w="4650"/>
            <w:tcMar>
              <w:top w:type="dxa" w:w="100"/>
              <w:left w:type="dxa" w:w="120"/>
              <w:bottom w:type="dxa" w:w="100"/>
              <w:right w:type="dxa" w:w="120"/>
            </w:tcMar>
          </w:tcPr>
          <w:p>
            <w:r>
              <w:rPr>
                <w:b w:val="false"/>
                <w:bCs w:val="false"/>
                <w:color w:val="000000"/>
                <w:sz w:val="20"/>
                <w:szCs w:val="20"/>
              </w:rPr>
              <w:t xml:space="preserve">[Mitigant 1]</w:t>
            </w:r>
          </w:p>
        </w:tc>
      </w:tr>
      <w:tr>
        <w:tc>
          <w:tcPr>
            <w:tcW w:type="dxa" w:w="4650"/>
            <w:tcMar>
              <w:top w:type="dxa" w:w="100"/>
              <w:left w:type="dxa" w:w="120"/>
              <w:bottom w:type="dxa" w:w="100"/>
              <w:right w:type="dxa" w:w="120"/>
            </w:tcMar>
          </w:tcPr>
          <w:p>
            <w:r>
              <w:rPr>
                <w:b w:val="false"/>
                <w:bCs w:val="false"/>
                <w:color w:val="000000"/>
                <w:sz w:val="20"/>
                <w:szCs w:val="20"/>
              </w:rPr>
              <w:t xml:space="preserve">[Risk 2]</w:t>
            </w:r>
          </w:p>
        </w:tc>
        <w:tc>
          <w:tcPr>
            <w:tcW w:type="dxa" w:w="4650"/>
            <w:tcMar>
              <w:top w:type="dxa" w:w="100"/>
              <w:left w:type="dxa" w:w="120"/>
              <w:bottom w:type="dxa" w:w="100"/>
              <w:right w:type="dxa" w:w="120"/>
            </w:tcMar>
          </w:tcPr>
          <w:p>
            <w:r>
              <w:rPr>
                <w:b w:val="false"/>
                <w:bCs w:val="false"/>
                <w:color w:val="000000"/>
                <w:sz w:val="20"/>
                <w:szCs w:val="20"/>
              </w:rPr>
              <w:t xml:space="preserve">[Mitigant 2]</w:t>
            </w:r>
          </w:p>
        </w:tc>
      </w:tr>
      <w:tr>
        <w:tc>
          <w:tcPr>
            <w:tcW w:type="dxa" w:w="4650"/>
            <w:tcMar>
              <w:top w:type="dxa" w:w="100"/>
              <w:left w:type="dxa" w:w="120"/>
              <w:bottom w:type="dxa" w:w="100"/>
              <w:right w:type="dxa" w:w="120"/>
            </w:tcMar>
          </w:tcPr>
          <w:p>
            <w:r>
              <w:rPr>
                <w:b w:val="false"/>
                <w:bCs w:val="false"/>
                <w:color w:val="000000"/>
                <w:sz w:val="20"/>
                <w:szCs w:val="20"/>
              </w:rPr>
              <w:t xml:space="preserve">[Risk 3]</w:t>
            </w:r>
          </w:p>
        </w:tc>
        <w:tc>
          <w:tcPr>
            <w:tcW w:type="dxa" w:w="4650"/>
            <w:tcMar>
              <w:top w:type="dxa" w:w="100"/>
              <w:left w:type="dxa" w:w="120"/>
              <w:bottom w:type="dxa" w:w="100"/>
              <w:right w:type="dxa" w:w="120"/>
            </w:tcMar>
          </w:tcPr>
          <w:p>
            <w:r>
              <w:rPr>
                <w:b w:val="false"/>
                <w:bCs w:val="false"/>
                <w:color w:val="000000"/>
                <w:sz w:val="20"/>
                <w:szCs w:val="20"/>
              </w:rPr>
              <w:t xml:space="preserve">[Mitigant 3]</w:t>
            </w:r>
          </w:p>
        </w:tc>
      </w:tr>
    </w:tbl>
    <w:p>
      <w:pPr>
        <w:pStyle w:val="Heading1"/>
        <w:spacing w:after="120" w:before="320"/>
      </w:pPr>
      <w:r>
        <w:rPr>
          <w:b/>
          <w:bCs/>
          <w:color w:val="0A2F5C"/>
        </w:rPr>
        <w:t xml:space="preserve">6. Recommendation</w:t>
      </w:r>
    </w:p>
    <w:p>
      <w:pPr>
        <w:spacing w:after="160"/>
      </w:pPr>
      <w:r>
        <w:rPr>
          <w:i w:val="false"/>
          <w:iCs w:val="false"/>
          <w:color w:val="000000"/>
        </w:rPr>
        <w:t xml:space="preserve">State the ask clearly: what decision does the Committee need to make, and what happens next if approved.</w:t>
      </w:r>
    </w:p>
    <w:p>
      <w:pPr>
        <w:spacing w:after="160"/>
      </w:pPr>
      <w:r>
        <w:rPr>
          <w:i/>
          <w:iCs/>
          <w:color w:val="8A8A8A"/>
        </w:rPr>
        <w:t xml:space="preserve">[Recommendation text]</w:t>
      </w:r>
    </w:p>
    <w:p>
      <w:pPr>
        <w:pStyle w:val="Heading1"/>
        <w:spacing w:after="120" w:before="320"/>
      </w:pPr>
      <w:r>
        <w:rPr>
          <w:b/>
          <w:bCs/>
          <w:color w:val="0A2F5C"/>
        </w:rPr>
        <w:t xml:space="preserve">Appendix</w:t>
      </w:r>
    </w:p>
    <w:p>
      <w:pPr>
        <w:spacing w:after="160"/>
      </w:pPr>
      <w:r>
        <w:rPr>
          <w:i w:val="false"/>
          <w:iCs w:val="false"/>
          <w:color w:val="000000"/>
        </w:rPr>
        <w:t xml:space="preserve">List supporting documents attached separately (financial model, due diligence reports, legal documents, etc.)</w:t>
      </w:r>
    </w:p>
    <w:p>
      <w:pPr>
        <w:pStyle w:val="ListParagraph"/>
        <w:numPr>
          <w:ilvl w:val="0"/>
          <w:numId w:val="1"/>
        </w:numPr>
        <w:spacing w:after="80"/>
      </w:pPr>
      <w:r>
        <w:t xml:space="preserve">[Attachment 1]</w:t>
      </w:r>
    </w:p>
    <w:p>
      <w:pPr>
        <w:pStyle w:val="ListParagraph"/>
        <w:numPr>
          <w:ilvl w:val="0"/>
          <w:numId w:val="1"/>
        </w:numPr>
        <w:spacing w:after="80"/>
      </w:pPr>
      <w:r>
        <w:t xml:space="preserve">[Attachment 2]</w:t>
      </w:r>
    </w:p>
    <w:p>
      <w:pPr>
        <w:pBdr>
          <w:top w:val="single" w:color="D9D9D9" w:sz="4" w:space="8"/>
        </w:pBdr>
        <w:spacing w:before="600"/>
      </w:pPr>
      <w:r>
        <w:rPr>
          <w:i/>
          <w:iCs/>
          <w:color w:val="5B6570"/>
          <w:sz w:val="16"/>
          <w:szCs w:val="16"/>
        </w:rPr>
        <w:t xml:space="preserve">Provided free by Aamir Capital (aamircapital.com). This template is provided for general informational and educational use only and is not financial, investment, legal or tax advice. Aamir Capital accepts no liability for decisions made using this template.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570"/>
        <w:sz w:val="16"/>
        <w:szCs w:val="16"/>
      </w:rPr>
      <w:t xml:space="preserve">Page </w:t>
    </w:r>
    <w:r>
      <w:rPr>
        <w:color w:val="5B65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B6570"/>
        <w:sz w:val="16"/>
        <w:szCs w:val="16"/>
      </w:rPr>
      <w:t xml:space="preserve">Aamir Capital: Investment Committee Memo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2026-10-05T08:28:20.976Z</dcterms:created>
  <dcterms:modified xsi:type="dcterms:W3CDTF">2026-10-05T08:28:20.983Z</dcterms:modified>
</cp:coreProperties>
</file>

<file path=docProps/custom.xml><?xml version="1.0" encoding="utf-8"?>
<Properties xmlns="http://schemas.openxmlformats.org/officeDocument/2006/custom-properties" xmlns:vt="http://schemas.openxmlformats.org/officeDocument/2006/docPropsVTypes"/>
</file>